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99B" w:rsidRDefault="0024699B" w:rsidP="00A12206">
      <w:pPr>
        <w:spacing w:line="480" w:lineRule="auto"/>
        <w:rPr>
          <w:b/>
        </w:rPr>
      </w:pPr>
    </w:p>
    <w:p w:rsidR="0024699B" w:rsidRDefault="0024699B" w:rsidP="0024699B">
      <w:pPr>
        <w:spacing w:line="480" w:lineRule="auto"/>
        <w:jc w:val="center"/>
        <w:rPr>
          <w:b/>
        </w:rPr>
      </w:pPr>
    </w:p>
    <w:p w:rsidR="0024699B" w:rsidRPr="0024699B" w:rsidRDefault="0024699B" w:rsidP="0024699B">
      <w:pPr>
        <w:spacing w:line="480" w:lineRule="auto"/>
        <w:jc w:val="center"/>
        <w:rPr>
          <w:b/>
        </w:rPr>
      </w:pPr>
      <w:r w:rsidRPr="0024699B">
        <w:rPr>
          <w:b/>
        </w:rPr>
        <w:t xml:space="preserve">Case Study – Iron Deficiency </w:t>
      </w:r>
      <w:proofErr w:type="spellStart"/>
      <w:r w:rsidRPr="0024699B">
        <w:rPr>
          <w:b/>
        </w:rPr>
        <w:t>Anaemia</w:t>
      </w:r>
      <w:proofErr w:type="spellEnd"/>
      <w:r w:rsidRPr="0024699B">
        <w:rPr>
          <w:b/>
        </w:rPr>
        <w:t xml:space="preserve"> (IDA)</w:t>
      </w:r>
    </w:p>
    <w:p w:rsidR="0024699B" w:rsidRDefault="0024699B" w:rsidP="0024699B">
      <w:pPr>
        <w:spacing w:line="480" w:lineRule="auto"/>
        <w:jc w:val="center"/>
      </w:pPr>
    </w:p>
    <w:p w:rsidR="00A12206" w:rsidRDefault="00A12206" w:rsidP="0024699B">
      <w:pPr>
        <w:spacing w:line="480" w:lineRule="auto"/>
        <w:jc w:val="center"/>
      </w:pPr>
    </w:p>
    <w:p w:rsidR="0024699B" w:rsidRDefault="0024699B" w:rsidP="00A12206">
      <w:pPr>
        <w:spacing w:line="480" w:lineRule="auto"/>
      </w:pPr>
    </w:p>
    <w:p w:rsidR="0024699B" w:rsidRPr="0024699B" w:rsidRDefault="0024699B" w:rsidP="0024699B">
      <w:pPr>
        <w:spacing w:line="480" w:lineRule="auto"/>
        <w:jc w:val="center"/>
      </w:pPr>
      <w:r w:rsidRPr="0024699B">
        <w:t>Student’s Name</w:t>
      </w:r>
    </w:p>
    <w:p w:rsidR="0024699B" w:rsidRDefault="0024699B" w:rsidP="0024699B">
      <w:pPr>
        <w:spacing w:line="480" w:lineRule="auto"/>
        <w:jc w:val="center"/>
      </w:pPr>
      <w:r>
        <w:t>Institution of Affiliation</w:t>
      </w:r>
    </w:p>
    <w:p w:rsidR="0024699B" w:rsidRPr="0024699B" w:rsidRDefault="0024699B" w:rsidP="0024699B">
      <w:pPr>
        <w:spacing w:line="480" w:lineRule="auto"/>
        <w:jc w:val="center"/>
      </w:pPr>
      <w:r w:rsidRPr="0024699B">
        <w:t>Course Code and Name</w:t>
      </w:r>
    </w:p>
    <w:p w:rsidR="0024699B" w:rsidRPr="0024699B" w:rsidRDefault="0024699B" w:rsidP="0024699B">
      <w:pPr>
        <w:spacing w:line="480" w:lineRule="auto"/>
        <w:jc w:val="center"/>
      </w:pPr>
      <w:r w:rsidRPr="0024699B">
        <w:t>Professor</w:t>
      </w:r>
    </w:p>
    <w:p w:rsidR="0024699B" w:rsidRPr="0024699B" w:rsidRDefault="0024699B" w:rsidP="0024699B">
      <w:pPr>
        <w:spacing w:line="480" w:lineRule="auto"/>
        <w:jc w:val="center"/>
      </w:pPr>
      <w:r w:rsidRPr="0024699B">
        <w:t>Date</w:t>
      </w:r>
    </w:p>
    <w:p w:rsidR="0024699B" w:rsidRDefault="0024699B">
      <w:r>
        <w:br w:type="page"/>
      </w:r>
    </w:p>
    <w:p w:rsidR="0024699B" w:rsidRPr="00A12206" w:rsidRDefault="0024699B" w:rsidP="0024699B">
      <w:pPr>
        <w:spacing w:line="480" w:lineRule="auto"/>
        <w:jc w:val="center"/>
        <w:rPr>
          <w:b/>
        </w:rPr>
      </w:pPr>
      <w:r w:rsidRPr="00A12206">
        <w:rPr>
          <w:b/>
        </w:rPr>
        <w:lastRenderedPageBreak/>
        <w:t xml:space="preserve">Case Study – Iron Deficiency </w:t>
      </w:r>
      <w:proofErr w:type="spellStart"/>
      <w:r w:rsidRPr="00A12206">
        <w:rPr>
          <w:b/>
        </w:rPr>
        <w:t>Anaemia</w:t>
      </w:r>
      <w:proofErr w:type="spellEnd"/>
      <w:r w:rsidRPr="00A12206">
        <w:rPr>
          <w:b/>
        </w:rPr>
        <w:t xml:space="preserve"> (IDA)</w:t>
      </w:r>
    </w:p>
    <w:p w:rsidR="00A956ED" w:rsidRPr="0024699B" w:rsidRDefault="00D5500A" w:rsidP="0024699B">
      <w:pPr>
        <w:spacing w:line="480" w:lineRule="auto"/>
        <w:ind w:firstLine="720"/>
      </w:pPr>
      <w:r w:rsidRPr="0024699B">
        <w:t xml:space="preserve">Iron deficiency is the most common of </w:t>
      </w:r>
      <w:proofErr w:type="spellStart"/>
      <w:r w:rsidRPr="0024699B">
        <w:t>anaemia</w:t>
      </w:r>
      <w:proofErr w:type="spellEnd"/>
      <w:r w:rsidRPr="0024699B">
        <w:t xml:space="preserve"> in every country of the world</w:t>
      </w:r>
      <w:r w:rsidR="00A956ED" w:rsidRPr="0024699B">
        <w:t xml:space="preserve"> </w:t>
      </w:r>
      <w:r w:rsidR="008A79EF" w:rsidRPr="0024699B">
        <w:t>with up to one-fourth of the total population in the world being affected with the conditio</w:t>
      </w:r>
      <w:r w:rsidR="0024699B" w:rsidRPr="0024699B">
        <w:t>n (Jimenez</w:t>
      </w:r>
      <w:r w:rsidR="00F22485">
        <w:t xml:space="preserve"> et al., </w:t>
      </w:r>
      <w:r w:rsidR="008A79EF" w:rsidRPr="0024699B">
        <w:t>2015</w:t>
      </w:r>
      <w:r w:rsidR="00A956ED" w:rsidRPr="0024699B">
        <w:t>)</w:t>
      </w:r>
      <w:r w:rsidRPr="0024699B">
        <w:t xml:space="preserve">. Iron deficiency </w:t>
      </w:r>
      <w:proofErr w:type="spellStart"/>
      <w:r w:rsidRPr="0024699B">
        <w:t>anaemia</w:t>
      </w:r>
      <w:proofErr w:type="spellEnd"/>
      <w:r w:rsidRPr="0024699B">
        <w:t xml:space="preserve"> develops when the reticuloendothelial stores (</w:t>
      </w:r>
      <w:proofErr w:type="spellStart"/>
      <w:r w:rsidRPr="0024699B">
        <w:t>haemosiderin</w:t>
      </w:r>
      <w:proofErr w:type="spellEnd"/>
      <w:r w:rsidRPr="0024699B">
        <w:t xml:space="preserve"> and ferritin) become completely depleted. </w:t>
      </w:r>
      <w:r w:rsidR="00A956ED" w:rsidRPr="0024699B">
        <w:t xml:space="preserve">Iron is especially necessary for the development of the red blood cells as it forms a key component of the hemoglobin molecule. In its absence as is the case with iron deficiency, the rate of blood cell formation reduces significantly with the formation of the hemoglobin molecule being reduced so that the individual will demonstrate reduced values in the two red cell indices on performing complete blood count which are the mean corpuscular volume (MCV) and mean corpuscular hemoglobin (MCH). It follows, therefore, that the blood film would demonstrate small (microcytic) and pale (hypochromic) red blood cells; an appearance that is caused by a defect in </w:t>
      </w:r>
      <w:proofErr w:type="spellStart"/>
      <w:r w:rsidR="00A956ED" w:rsidRPr="0024699B">
        <w:t>haemoglobin</w:t>
      </w:r>
      <w:proofErr w:type="spellEnd"/>
      <w:r w:rsidR="00A956ED" w:rsidRPr="0024699B">
        <w:t xml:space="preserve"> synthesis (</w:t>
      </w:r>
      <w:proofErr w:type="spellStart"/>
      <w:r w:rsidR="00B50275">
        <w:t>Joosten</w:t>
      </w:r>
      <w:proofErr w:type="spellEnd"/>
      <w:r w:rsidR="00B50275">
        <w:t>, 2017</w:t>
      </w:r>
      <w:r w:rsidR="00A956ED" w:rsidRPr="0024699B">
        <w:t xml:space="preserve">). Hence, iron deficiency </w:t>
      </w:r>
      <w:proofErr w:type="spellStart"/>
      <w:r w:rsidR="00A956ED" w:rsidRPr="0024699B">
        <w:t>anaemia</w:t>
      </w:r>
      <w:proofErr w:type="spellEnd"/>
      <w:r w:rsidR="00A956ED" w:rsidRPr="0024699B">
        <w:t xml:space="preserve"> can also be referred to as microcytic hypochromic </w:t>
      </w:r>
      <w:proofErr w:type="spellStart"/>
      <w:r w:rsidR="00A956ED" w:rsidRPr="0024699B">
        <w:t>anaemia</w:t>
      </w:r>
      <w:proofErr w:type="spellEnd"/>
      <w:r w:rsidR="00A956ED" w:rsidRPr="0024699B">
        <w:t xml:space="preserve"> depending on the appearance of the red blood cells on blood film.</w:t>
      </w:r>
    </w:p>
    <w:p w:rsidR="00A956ED" w:rsidRPr="0024699B" w:rsidRDefault="00D5500A" w:rsidP="0024699B">
      <w:pPr>
        <w:spacing w:line="480" w:lineRule="auto"/>
        <w:ind w:firstLine="720"/>
      </w:pPr>
      <w:r w:rsidRPr="0024699B">
        <w:t xml:space="preserve">The patient, during early onset of the condition depicts the general symptoms and signs of </w:t>
      </w:r>
      <w:proofErr w:type="spellStart"/>
      <w:r w:rsidRPr="0024699B">
        <w:t>anaemia</w:t>
      </w:r>
      <w:proofErr w:type="spellEnd"/>
      <w:r w:rsidRPr="0024699B">
        <w:t>. The general symptoms include shortness of breath on exertion, weakness, lethargy, palpitation, and headaches</w:t>
      </w:r>
      <w:r w:rsidR="008A79EF" w:rsidRPr="0024699B">
        <w:t xml:space="preserve"> (Jime</w:t>
      </w:r>
      <w:r w:rsidR="00F22485">
        <w:t>nez et al.</w:t>
      </w:r>
      <w:bookmarkStart w:id="0" w:name="_GoBack"/>
      <w:bookmarkEnd w:id="0"/>
      <w:r w:rsidR="00F22485">
        <w:t xml:space="preserve">, </w:t>
      </w:r>
      <w:r w:rsidR="00F22485" w:rsidRPr="0024699B">
        <w:t>2015</w:t>
      </w:r>
      <w:r w:rsidR="008A79EF" w:rsidRPr="0024699B">
        <w:t>)</w:t>
      </w:r>
      <w:r w:rsidRPr="0024699B">
        <w:t>. In the older subjects, symptoms of cardiac failure, angina pectoris, or intermittent claudication or confusion may be present</w:t>
      </w:r>
      <w:r w:rsidR="0024699B" w:rsidRPr="0024699B">
        <w:t xml:space="preserve"> (</w:t>
      </w:r>
      <w:proofErr w:type="spellStart"/>
      <w:r w:rsidR="0024699B" w:rsidRPr="0024699B">
        <w:t>Halawi</w:t>
      </w:r>
      <w:proofErr w:type="spellEnd"/>
      <w:r w:rsidR="00F22485">
        <w:t xml:space="preserve"> et al., </w:t>
      </w:r>
      <w:r w:rsidR="0024699B" w:rsidRPr="0024699B">
        <w:t>2016)</w:t>
      </w:r>
      <w:r w:rsidRPr="0024699B">
        <w:t xml:space="preserve">. The general signs of </w:t>
      </w:r>
      <w:proofErr w:type="spellStart"/>
      <w:r w:rsidRPr="0024699B">
        <w:t>anaemia</w:t>
      </w:r>
      <w:proofErr w:type="spellEnd"/>
      <w:r w:rsidRPr="0024699B">
        <w:t xml:space="preserve"> include pallor of mucus membrane which occurs of the hemoglobin level falls below 9-10 g/</w:t>
      </w:r>
      <w:proofErr w:type="spellStart"/>
      <w:r w:rsidRPr="0024699B">
        <w:t>dL</w:t>
      </w:r>
      <w:proofErr w:type="spellEnd"/>
      <w:r w:rsidRPr="0024699B">
        <w:t xml:space="preserve">. There might be presence of a </w:t>
      </w:r>
      <w:r w:rsidR="00A956ED" w:rsidRPr="0024699B">
        <w:t>hyper-dynamic</w:t>
      </w:r>
      <w:r w:rsidRPr="0024699B">
        <w:t xml:space="preserve"> circulation with tachycardia, a bounding pulse, cardiomegaly,</w:t>
      </w:r>
      <w:r w:rsidR="00A956ED" w:rsidRPr="0024699B">
        <w:t xml:space="preserve"> </w:t>
      </w:r>
      <w:r w:rsidRPr="0024699B">
        <w:t>and systolic flo</w:t>
      </w:r>
      <w:r w:rsidR="00A956ED" w:rsidRPr="0024699B">
        <w:t>w</w:t>
      </w:r>
      <w:r w:rsidRPr="0024699B">
        <w:t xml:space="preserve"> murmur especially at the apex. </w:t>
      </w:r>
    </w:p>
    <w:p w:rsidR="00370B10" w:rsidRPr="0024699B" w:rsidRDefault="00A956ED" w:rsidP="0024699B">
      <w:pPr>
        <w:spacing w:line="480" w:lineRule="auto"/>
        <w:ind w:firstLine="720"/>
      </w:pPr>
      <w:r w:rsidRPr="0024699B">
        <w:lastRenderedPageBreak/>
        <w:t xml:space="preserve">Later into the condition, if iron deficiency is not corrected, the patient will develop signs and symptoms that are specific to iron deficiency </w:t>
      </w:r>
      <w:proofErr w:type="spellStart"/>
      <w:r w:rsidRPr="0024699B">
        <w:t>anaemia</w:t>
      </w:r>
      <w:proofErr w:type="spellEnd"/>
      <w:r w:rsidRPr="0024699B">
        <w:t xml:space="preserve"> which include </w:t>
      </w:r>
      <w:r w:rsidR="00370B10" w:rsidRPr="0024699B">
        <w:t>painless glossitis, angular stomatitis, brittle, ridged or spoon shaped nails (</w:t>
      </w:r>
      <w:proofErr w:type="spellStart"/>
      <w:r w:rsidR="00370B10" w:rsidRPr="0024699B">
        <w:t>koilonychia</w:t>
      </w:r>
      <w:proofErr w:type="spellEnd"/>
      <w:r w:rsidR="00370B10" w:rsidRPr="0024699B">
        <w:t xml:space="preserve">), dysphagia as a result of pharyngeal webs (Paterson-Kelly or Plummer-Vinson syndrome), and unusual </w:t>
      </w:r>
      <w:r w:rsidR="00B813A1" w:rsidRPr="0024699B">
        <w:t>dietary</w:t>
      </w:r>
      <w:r w:rsidR="00370B10" w:rsidRPr="0024699B">
        <w:t xml:space="preserve"> cravings (pica) (</w:t>
      </w:r>
      <w:r w:rsidR="00B50275" w:rsidRPr="0024699B">
        <w:t>Jimen</w:t>
      </w:r>
      <w:r w:rsidR="00A12206">
        <w:t>ez et al.</w:t>
      </w:r>
      <w:r w:rsidR="00B50275" w:rsidRPr="0024699B">
        <w:t>, 2015</w:t>
      </w:r>
      <w:r w:rsidR="00370B10" w:rsidRPr="0024699B">
        <w:t>). The cause of the epithelial cell changes is not clear but may be related to reduction of iron in iron-containing enzymes. Iron deficiency is particularly significant in children as it causes irritability, poor cognitive function, and a decline in psychomotor development (</w:t>
      </w:r>
      <w:r w:rsidR="008A79EF" w:rsidRPr="0024699B">
        <w:t>Jim</w:t>
      </w:r>
      <w:r w:rsidR="00A12206">
        <w:t>enez</w:t>
      </w:r>
      <w:r w:rsidR="00F22485">
        <w:t xml:space="preserve"> et al.</w:t>
      </w:r>
      <w:proofErr w:type="gramStart"/>
      <w:r w:rsidR="00F22485">
        <w:t>,</w:t>
      </w:r>
      <w:r w:rsidR="008A79EF" w:rsidRPr="0024699B">
        <w:t>2015</w:t>
      </w:r>
      <w:proofErr w:type="gramEnd"/>
      <w:r w:rsidR="00370B10" w:rsidRPr="0024699B">
        <w:t xml:space="preserve">). </w:t>
      </w:r>
    </w:p>
    <w:p w:rsidR="007D591C" w:rsidRPr="0024699B" w:rsidRDefault="00370B10" w:rsidP="0024699B">
      <w:pPr>
        <w:spacing w:line="480" w:lineRule="auto"/>
        <w:ind w:firstLine="720"/>
      </w:pPr>
      <w:r w:rsidRPr="0024699B">
        <w:t xml:space="preserve">The diagnostic testing required to diagnose iron deficiency </w:t>
      </w:r>
      <w:proofErr w:type="spellStart"/>
      <w:r w:rsidRPr="0024699B">
        <w:t>anaemia</w:t>
      </w:r>
      <w:proofErr w:type="spellEnd"/>
      <w:r w:rsidRPr="0024699B">
        <w:t xml:space="preserve"> include conducting full count counts to demonstrate the level of the red blood cell indices. The rationale for using this diagnostic testing is that it can provide a clear picture of the </w:t>
      </w:r>
      <w:proofErr w:type="spellStart"/>
      <w:r w:rsidRPr="0024699B">
        <w:t>anaemia</w:t>
      </w:r>
      <w:proofErr w:type="spellEnd"/>
      <w:r w:rsidRPr="0024699B">
        <w:t xml:space="preserve"> status of the individual early enough even before the symptoms appear. This is because even before </w:t>
      </w:r>
      <w:proofErr w:type="spellStart"/>
      <w:r w:rsidRPr="0024699B">
        <w:t>anaemia</w:t>
      </w:r>
      <w:proofErr w:type="spellEnd"/>
      <w:r w:rsidRPr="0024699B">
        <w:t xml:space="preserve"> occurs, the red cell indices fall and they continue to fall progressively as the anemia becomes more severe. It can also help in ruling out the differential diagnosis synonymous o microcytic hypochromic </w:t>
      </w:r>
      <w:proofErr w:type="spellStart"/>
      <w:r w:rsidRPr="0024699B">
        <w:t>anaemia</w:t>
      </w:r>
      <w:proofErr w:type="spellEnd"/>
      <w:r w:rsidRPr="0024699B">
        <w:t xml:space="preserve"> which include thalassemia and </w:t>
      </w:r>
      <w:proofErr w:type="spellStart"/>
      <w:r w:rsidRPr="0024699B">
        <w:t>anaemia</w:t>
      </w:r>
      <w:proofErr w:type="spellEnd"/>
      <w:r w:rsidRPr="0024699B">
        <w:t xml:space="preserve"> of chronic diseases</w:t>
      </w:r>
      <w:r w:rsidR="008A79EF" w:rsidRPr="0024699B">
        <w:t xml:space="preserve"> (</w:t>
      </w:r>
      <w:proofErr w:type="spellStart"/>
      <w:r w:rsidR="0024699B" w:rsidRPr="0024699B">
        <w:t>Joosten</w:t>
      </w:r>
      <w:proofErr w:type="spellEnd"/>
      <w:r w:rsidR="0024699B" w:rsidRPr="0024699B">
        <w:t>, 2017</w:t>
      </w:r>
      <w:r w:rsidR="008A79EF" w:rsidRPr="0024699B">
        <w:t>)</w:t>
      </w:r>
      <w:r w:rsidRPr="0024699B">
        <w:t xml:space="preserve">. Secondly, there is the </w:t>
      </w:r>
      <w:r w:rsidR="007E1866" w:rsidRPr="0024699B">
        <w:t xml:space="preserve">use of blood films to demonstrate the hypochromic microcytic cells with occasional target cells and pencil-shaped </w:t>
      </w:r>
      <w:proofErr w:type="spellStart"/>
      <w:r w:rsidR="007E1866" w:rsidRPr="0024699B">
        <w:t>poikilocytes</w:t>
      </w:r>
      <w:proofErr w:type="spellEnd"/>
      <w:r w:rsidR="008A79EF" w:rsidRPr="0024699B">
        <w:t xml:space="preserve"> (</w:t>
      </w:r>
      <w:proofErr w:type="spellStart"/>
      <w:r w:rsidR="0024699B" w:rsidRPr="0024699B">
        <w:t>Joosten</w:t>
      </w:r>
      <w:proofErr w:type="spellEnd"/>
      <w:r w:rsidR="0024699B" w:rsidRPr="0024699B">
        <w:t>, 2017</w:t>
      </w:r>
      <w:r w:rsidR="008A79EF" w:rsidRPr="0024699B">
        <w:t>)</w:t>
      </w:r>
      <w:r w:rsidR="007E1866" w:rsidRPr="0024699B">
        <w:t xml:space="preserve">. In addition, the reticulocyte count on blood film is low in relation to the degree of </w:t>
      </w:r>
      <w:proofErr w:type="spellStart"/>
      <w:r w:rsidR="007E1866" w:rsidRPr="0024699B">
        <w:t>anaemia</w:t>
      </w:r>
      <w:proofErr w:type="spellEnd"/>
      <w:r w:rsidR="007E1866" w:rsidRPr="0024699B">
        <w:t>. The third diagnostic testing involves bone marrow examination that is conducted only in complicated cases. It demonstrates complete absence of iron from stores (macrophages) in the bone marrow and from developing erythroblasts which appear small and have a ragged cytoplasm</w:t>
      </w:r>
      <w:r w:rsidR="008A79EF" w:rsidRPr="0024699B">
        <w:t xml:space="preserve"> (</w:t>
      </w:r>
      <w:proofErr w:type="spellStart"/>
      <w:r w:rsidR="0024699B" w:rsidRPr="0024699B">
        <w:t>Joosten</w:t>
      </w:r>
      <w:proofErr w:type="spellEnd"/>
      <w:r w:rsidR="0024699B" w:rsidRPr="0024699B">
        <w:t>, 2017</w:t>
      </w:r>
      <w:r w:rsidR="008A79EF" w:rsidRPr="0024699B">
        <w:t>)</w:t>
      </w:r>
      <w:r w:rsidR="007E1866" w:rsidRPr="0024699B">
        <w:t xml:space="preserve">. The bone marrow examination is conducted to provide a definitive diagnosis that is devoid of suspicions of other underlying bone marrow pathology that could explain the blood picture depicted by the red </w:t>
      </w:r>
      <w:r w:rsidR="007E1866" w:rsidRPr="0024699B">
        <w:lastRenderedPageBreak/>
        <w:t>cell indices and the blood film. There is also the measurement of serum iron and total iron-binding capacity (TIBC) as further diagnostic testing required to diagnose IDA and distinguish it from the two differentials. In IDA, serum iron falls and the TIBC rises that the T</w:t>
      </w:r>
      <w:r w:rsidR="004C766C" w:rsidRPr="0024699B">
        <w:t xml:space="preserve">IBC is less than 20% saturated which contrasts both with the </w:t>
      </w:r>
      <w:proofErr w:type="spellStart"/>
      <w:r w:rsidR="004C766C" w:rsidRPr="0024699B">
        <w:t>anaemia</w:t>
      </w:r>
      <w:proofErr w:type="spellEnd"/>
      <w:r w:rsidR="004C766C" w:rsidRPr="0024699B">
        <w:t xml:space="preserve"> of chronic disorders when the serum iron and the TIBC are both reduced and with other hypochromic </w:t>
      </w:r>
      <w:proofErr w:type="spellStart"/>
      <w:r w:rsidR="004C766C" w:rsidRPr="0024699B">
        <w:t>anaemia</w:t>
      </w:r>
      <w:proofErr w:type="spellEnd"/>
      <w:r w:rsidR="004C766C" w:rsidRPr="0024699B">
        <w:t xml:space="preserve"> where the serum iron is normal or even raised (</w:t>
      </w:r>
      <w:proofErr w:type="spellStart"/>
      <w:r w:rsidR="0024699B" w:rsidRPr="0024699B">
        <w:t>Joosten</w:t>
      </w:r>
      <w:proofErr w:type="spellEnd"/>
      <w:r w:rsidR="0024699B" w:rsidRPr="0024699B">
        <w:t>, 2017</w:t>
      </w:r>
      <w:r w:rsidR="004C766C" w:rsidRPr="0024699B">
        <w:t>). Lastly it is the measurement of serum ferritin. A small fraction of body ferritin circulates in serum, the concentration of which is being related to tissue, particularly reticuloendothelial iron stores. It would, therefore, follow that in IDA, serum ferritin would be very low corresponding to the depletion of iron stores in the reticuloendothelial system that occurs with Iron deficiency. It is normal or raised in the anemia of chronic disorders</w:t>
      </w:r>
      <w:r w:rsidR="008A79EF" w:rsidRPr="0024699B">
        <w:t xml:space="preserve"> (</w:t>
      </w:r>
      <w:proofErr w:type="spellStart"/>
      <w:r w:rsidR="0024699B" w:rsidRPr="0024699B">
        <w:t>Joosten</w:t>
      </w:r>
      <w:proofErr w:type="spellEnd"/>
      <w:r w:rsidR="0024699B" w:rsidRPr="0024699B">
        <w:t>, 2017</w:t>
      </w:r>
      <w:r w:rsidR="008A79EF" w:rsidRPr="0024699B">
        <w:t>)</w:t>
      </w:r>
      <w:r w:rsidR="004C766C" w:rsidRPr="0024699B">
        <w:t>.</w:t>
      </w:r>
    </w:p>
    <w:p w:rsidR="004C766C" w:rsidRPr="0024699B" w:rsidRDefault="004C766C" w:rsidP="0024699B">
      <w:pPr>
        <w:spacing w:line="480" w:lineRule="auto"/>
        <w:ind w:firstLine="720"/>
      </w:pPr>
      <w:r w:rsidRPr="0024699B">
        <w:t xml:space="preserve">In the management of iron deficiency </w:t>
      </w:r>
      <w:proofErr w:type="spellStart"/>
      <w:r w:rsidRPr="0024699B">
        <w:t>anaemia</w:t>
      </w:r>
      <w:proofErr w:type="spellEnd"/>
      <w:r w:rsidRPr="0024699B">
        <w:t xml:space="preserve">, the underlying cause such as excess blood loss or causes of chronic blood loss are treated first and as far as possible. In addition, iron is given orally or parenterally to correct the </w:t>
      </w:r>
      <w:proofErr w:type="spellStart"/>
      <w:r w:rsidRPr="0024699B">
        <w:t>anaemia</w:t>
      </w:r>
      <w:proofErr w:type="spellEnd"/>
      <w:r w:rsidRPr="0024699B">
        <w:t xml:space="preserve"> and replenish iron stores</w:t>
      </w:r>
      <w:r w:rsidR="008A79EF" w:rsidRPr="0024699B">
        <w:t xml:space="preserve"> (</w:t>
      </w:r>
      <w:r w:rsidR="00A12206">
        <w:t>Jimenez et al.</w:t>
      </w:r>
      <w:r w:rsidR="008A79EF" w:rsidRPr="0024699B">
        <w:t>, 2015)</w:t>
      </w:r>
      <w:r w:rsidRPr="0024699B">
        <w:t xml:space="preserve">. The best preparation of oral iron is ferrous </w:t>
      </w:r>
      <w:proofErr w:type="spellStart"/>
      <w:r w:rsidRPr="0024699B">
        <w:t>sulphate</w:t>
      </w:r>
      <w:proofErr w:type="spellEnd"/>
      <w:r w:rsidRPr="0024699B">
        <w:t xml:space="preserve"> which is cheap, containing 67 mg iron in each 200-mg tablet</w:t>
      </w:r>
      <w:r w:rsidR="000B37B5" w:rsidRPr="0024699B">
        <w:t>, and best given on an empty stomach in doses spaced by at least 6 hours. It, however, bears considerable side-effects such as nausea, abdominal pain, and constipation or diarrhea</w:t>
      </w:r>
      <w:r w:rsidR="008A79EF" w:rsidRPr="0024699B">
        <w:t xml:space="preserve"> in addition to being” </w:t>
      </w:r>
      <w:r w:rsidR="008A79EF" w:rsidRPr="0024699B">
        <w:rPr>
          <w:i/>
        </w:rPr>
        <w:t>limited in certain gastrointestinal conditions, such as inflammatory bowel disease, celiac disease, and autoimmune gastritis</w:t>
      </w:r>
      <w:r w:rsidR="008A79EF" w:rsidRPr="0024699B">
        <w:t>”</w:t>
      </w:r>
      <w:r w:rsidR="000B37B5" w:rsidRPr="0024699B">
        <w:t xml:space="preserve"> (</w:t>
      </w:r>
      <w:r w:rsidR="00A12206">
        <w:t xml:space="preserve">Jimenez et al., </w:t>
      </w:r>
      <w:r w:rsidR="008A79EF" w:rsidRPr="0024699B">
        <w:t>2015</w:t>
      </w:r>
      <w:r w:rsidR="000B37B5" w:rsidRPr="0024699B">
        <w:t xml:space="preserve">).For the parenteral iron, the preparations are available in the UK with the dose being calculated according to body weight and degree of </w:t>
      </w:r>
      <w:proofErr w:type="spellStart"/>
      <w:r w:rsidR="000B37B5" w:rsidRPr="0024699B">
        <w:t>anaemia</w:t>
      </w:r>
      <w:proofErr w:type="spellEnd"/>
      <w:r w:rsidR="000B37B5" w:rsidRPr="0024699B">
        <w:t>. An example is Ferric hydroxide-sucrose (</w:t>
      </w:r>
      <w:proofErr w:type="spellStart"/>
      <w:r w:rsidR="000B37B5" w:rsidRPr="0024699B">
        <w:t>Venofer</w:t>
      </w:r>
      <w:proofErr w:type="spellEnd"/>
      <w:r w:rsidR="000B37B5" w:rsidRPr="0024699B">
        <w:t>) which is administered by slow intravenous injection or infusion, usually 200mg iron in each infusion.</w:t>
      </w:r>
      <w:r w:rsidRPr="0024699B">
        <w:t xml:space="preserve"> In developing countries as those of Africa, iron fortification of the diet in infants reduces the </w:t>
      </w:r>
      <w:r w:rsidRPr="0024699B">
        <w:lastRenderedPageBreak/>
        <w:t xml:space="preserve">incidences of </w:t>
      </w:r>
      <w:proofErr w:type="spellStart"/>
      <w:r w:rsidRPr="0024699B">
        <w:t>anaemia</w:t>
      </w:r>
      <w:proofErr w:type="spellEnd"/>
      <w:r w:rsidRPr="0024699B">
        <w:t xml:space="preserve"> but increases their susceptibility to malaria. </w:t>
      </w:r>
      <w:r w:rsidR="000B37B5" w:rsidRPr="0024699B">
        <w:t xml:space="preserve">For the elderly or aging populations, iron deficiency </w:t>
      </w:r>
      <w:proofErr w:type="spellStart"/>
      <w:r w:rsidR="000B37B5" w:rsidRPr="0024699B">
        <w:t>anaemia</w:t>
      </w:r>
      <w:proofErr w:type="spellEnd"/>
      <w:r w:rsidR="000B37B5" w:rsidRPr="0024699B">
        <w:t xml:space="preserve"> is mostly caused by nutritional deficiencies and this can be easily  </w:t>
      </w:r>
      <w:r w:rsidR="000A188E" w:rsidRPr="0024699B">
        <w:t>remedied by nutritional supplementation, nutritional education of the healthy choices to adhere to, and by administering oral or parenteral iron based on the severity of the disease (</w:t>
      </w:r>
      <w:proofErr w:type="spellStart"/>
      <w:r w:rsidR="00A12206">
        <w:t>Halawi</w:t>
      </w:r>
      <w:proofErr w:type="spellEnd"/>
      <w:r w:rsidR="00A12206">
        <w:t xml:space="preserve"> et al., </w:t>
      </w:r>
      <w:r w:rsidR="0024699B" w:rsidRPr="0024699B">
        <w:t>2016</w:t>
      </w:r>
      <w:r w:rsidR="000A188E" w:rsidRPr="0024699B">
        <w:t xml:space="preserve">). But in the cases where the </w:t>
      </w:r>
      <w:proofErr w:type="spellStart"/>
      <w:r w:rsidR="000A188E" w:rsidRPr="0024699B">
        <w:t>anaemia</w:t>
      </w:r>
      <w:proofErr w:type="spellEnd"/>
      <w:r w:rsidR="000A188E" w:rsidRPr="0024699B">
        <w:t xml:space="preserve"> is caused by an underlying disease such as those occurring in the setting of chronically bleeding ulcers or ulcerated colon cancer lesions, treatment of iron deficiency is added as an adjuvant therapy to the therapy of the underlying disorder</w:t>
      </w:r>
      <w:r w:rsidR="00A12206">
        <w:t xml:space="preserve"> (</w:t>
      </w:r>
      <w:proofErr w:type="spellStart"/>
      <w:r w:rsidR="00A12206">
        <w:t>Halawi</w:t>
      </w:r>
      <w:proofErr w:type="spellEnd"/>
      <w:r w:rsidR="00A12206">
        <w:t xml:space="preserve"> et al., </w:t>
      </w:r>
      <w:r w:rsidR="0024699B" w:rsidRPr="0024699B">
        <w:t>2016)</w:t>
      </w:r>
      <w:r w:rsidR="000A188E" w:rsidRPr="0024699B">
        <w:t xml:space="preserve">. This combination is </w:t>
      </w:r>
      <w:r w:rsidR="0024699B" w:rsidRPr="0024699B">
        <w:t xml:space="preserve">not </w:t>
      </w:r>
      <w:r w:rsidR="000A188E" w:rsidRPr="0024699B">
        <w:t>always easy to achieve and maintain with new promising treatment still in pre-clinical and clinical trial phases</w:t>
      </w:r>
      <w:r w:rsidR="00A12206">
        <w:t xml:space="preserve"> (</w:t>
      </w:r>
      <w:proofErr w:type="spellStart"/>
      <w:r w:rsidR="00A12206">
        <w:t>Halawi</w:t>
      </w:r>
      <w:proofErr w:type="spellEnd"/>
      <w:r w:rsidR="00A12206">
        <w:t xml:space="preserve"> et al., </w:t>
      </w:r>
      <w:r w:rsidR="0024699B" w:rsidRPr="0024699B">
        <w:t>2016)</w:t>
      </w:r>
      <w:r w:rsidR="000A188E" w:rsidRPr="0024699B">
        <w:t xml:space="preserve">. </w:t>
      </w:r>
    </w:p>
    <w:p w:rsidR="000A188E" w:rsidRPr="0024699B" w:rsidRDefault="000A188E" w:rsidP="0024699B">
      <w:pPr>
        <w:spacing w:line="480" w:lineRule="auto"/>
        <w:ind w:firstLine="720"/>
      </w:pPr>
      <w:r w:rsidRPr="0024699B">
        <w:t xml:space="preserve">The information in this case informs the practice of a master prepared nurse by way of enriching their knowledge base concerning nursing management of patients with this type of hematologic disturbance. It helps to direct their practice so that it becomes highly specialized and based on best evidence-based practice. In designing a patient education section for someone with this condition, the masters prepared nurse could employ the information from this case in identifying the key points and take away messages that they would like the patient to acquire by the end of the session. This information could also come in handy in helping the masters prepared nurse create a compelling argument as to the type of intervention strategies that the patient could considered and what their advantages are or in convincing the patient why it is important to adhere to the doctor’s homecare directions. The most important information presented in the case is the rationale of each diagnostic testing that is employed in the diagnosis of this condition. This is because making the right diagnosis and early enough in the developmental phases of the condition can help substantially to improve the patient’s prognosis. The most challenging information presented in this case includes the determining the parental </w:t>
      </w:r>
      <w:r w:rsidRPr="0024699B">
        <w:lastRenderedPageBreak/>
        <w:t xml:space="preserve">dose of iron to be given to the patient without causing iron overload. Lastly, the patient safety issues that must be addressed for patients with this condition include </w:t>
      </w:r>
      <w:r w:rsidR="008A79EF" w:rsidRPr="0024699B">
        <w:t>the careful curation of their iron doses so that they do not develop iron overload which has considerable negative effects to the health of the patient.</w:t>
      </w:r>
      <w:r w:rsidRPr="0024699B">
        <w:t xml:space="preserve"> </w:t>
      </w:r>
    </w:p>
    <w:p w:rsidR="0024699B" w:rsidRDefault="0024699B">
      <w:r>
        <w:br w:type="page"/>
      </w:r>
    </w:p>
    <w:p w:rsidR="008A79EF" w:rsidRPr="00A12206" w:rsidRDefault="008A79EF" w:rsidP="0024699B">
      <w:pPr>
        <w:spacing w:line="480" w:lineRule="auto"/>
        <w:jc w:val="center"/>
        <w:rPr>
          <w:b/>
        </w:rPr>
      </w:pPr>
      <w:r w:rsidRPr="00A12206">
        <w:rPr>
          <w:b/>
        </w:rPr>
        <w:lastRenderedPageBreak/>
        <w:t>References</w:t>
      </w:r>
    </w:p>
    <w:p w:rsidR="0024699B" w:rsidRPr="0024699B" w:rsidRDefault="0024699B" w:rsidP="0024699B">
      <w:pPr>
        <w:spacing w:line="480" w:lineRule="auto"/>
        <w:ind w:left="720" w:hanging="720"/>
      </w:pPr>
      <w:proofErr w:type="spellStart"/>
      <w:proofErr w:type="gramStart"/>
      <w:r w:rsidRPr="0024699B">
        <w:t>Halawi</w:t>
      </w:r>
      <w:proofErr w:type="spellEnd"/>
      <w:r w:rsidRPr="0024699B">
        <w:t xml:space="preserve">, R., </w:t>
      </w:r>
      <w:proofErr w:type="spellStart"/>
      <w:r w:rsidRPr="0024699B">
        <w:t>Moukhadder</w:t>
      </w:r>
      <w:proofErr w:type="spellEnd"/>
      <w:r w:rsidRPr="0024699B">
        <w:t>, H.</w:t>
      </w:r>
      <w:r w:rsidR="00B813A1" w:rsidRPr="0024699B">
        <w:t>, &amp;</w:t>
      </w:r>
      <w:r w:rsidRPr="0024699B">
        <w:t xml:space="preserve"> </w:t>
      </w:r>
      <w:proofErr w:type="spellStart"/>
      <w:r w:rsidRPr="0024699B">
        <w:t>Taher</w:t>
      </w:r>
      <w:proofErr w:type="spellEnd"/>
      <w:r w:rsidRPr="0024699B">
        <w:t>, A. (2016).</w:t>
      </w:r>
      <w:proofErr w:type="gramEnd"/>
      <w:r w:rsidRPr="0024699B">
        <w:t xml:space="preserve"> Anemia in the Elderly: A Consequence of Aging? Expert Review of Hematology, 10(4): 327-335</w:t>
      </w:r>
    </w:p>
    <w:p w:rsidR="008A79EF" w:rsidRPr="0024699B" w:rsidRDefault="008A79EF" w:rsidP="0024699B">
      <w:pPr>
        <w:spacing w:line="480" w:lineRule="auto"/>
        <w:ind w:left="720" w:hanging="720"/>
      </w:pPr>
      <w:proofErr w:type="gramStart"/>
      <w:r w:rsidRPr="0024699B">
        <w:t xml:space="preserve">Jimenez, K., </w:t>
      </w:r>
      <w:proofErr w:type="spellStart"/>
      <w:r w:rsidRPr="0024699B">
        <w:t>Kulnigg-Dabsch</w:t>
      </w:r>
      <w:proofErr w:type="spellEnd"/>
      <w:r w:rsidRPr="0024699B">
        <w:t xml:space="preserve">, S., &amp; </w:t>
      </w:r>
      <w:proofErr w:type="spellStart"/>
      <w:r w:rsidRPr="0024699B">
        <w:t>Gasche</w:t>
      </w:r>
      <w:proofErr w:type="spellEnd"/>
      <w:r w:rsidRPr="0024699B">
        <w:t>, C. (2015).</w:t>
      </w:r>
      <w:proofErr w:type="gramEnd"/>
      <w:r w:rsidRPr="0024699B">
        <w:t xml:space="preserve"> </w:t>
      </w:r>
      <w:proofErr w:type="gramStart"/>
      <w:r w:rsidR="00B813A1" w:rsidRPr="0024699B">
        <w:t>Management</w:t>
      </w:r>
      <w:r w:rsidRPr="0024699B">
        <w:t xml:space="preserve"> of Iron Deficiency Anemia.</w:t>
      </w:r>
      <w:proofErr w:type="gramEnd"/>
      <w:r w:rsidRPr="0024699B">
        <w:t xml:space="preserve"> </w:t>
      </w:r>
      <w:proofErr w:type="spellStart"/>
      <w:r w:rsidRPr="0024699B">
        <w:rPr>
          <w:i/>
        </w:rPr>
        <w:t>Gastroenterol</w:t>
      </w:r>
      <w:proofErr w:type="spellEnd"/>
      <w:r w:rsidRPr="0024699B">
        <w:rPr>
          <w:i/>
        </w:rPr>
        <w:t xml:space="preserve"> </w:t>
      </w:r>
      <w:proofErr w:type="spellStart"/>
      <w:r w:rsidRPr="0024699B">
        <w:rPr>
          <w:i/>
        </w:rPr>
        <w:t>Hepatol</w:t>
      </w:r>
      <w:proofErr w:type="spellEnd"/>
      <w:r w:rsidRPr="0024699B">
        <w:rPr>
          <w:i/>
        </w:rPr>
        <w:t xml:space="preserve"> (NY</w:t>
      </w:r>
      <w:r w:rsidRPr="0024699B">
        <w:t>), 11(4): 241-250</w:t>
      </w:r>
    </w:p>
    <w:p w:rsidR="0024699B" w:rsidRPr="0024699B" w:rsidRDefault="0024699B" w:rsidP="0024699B">
      <w:pPr>
        <w:spacing w:line="480" w:lineRule="auto"/>
        <w:ind w:left="720" w:hanging="720"/>
      </w:pPr>
      <w:proofErr w:type="spellStart"/>
      <w:r w:rsidRPr="0024699B">
        <w:t>Joosten</w:t>
      </w:r>
      <w:proofErr w:type="spellEnd"/>
      <w:r w:rsidRPr="0024699B">
        <w:t xml:space="preserve">, E. (2017). Iron Deficiency Anemia in Older Adults: A Review. </w:t>
      </w:r>
      <w:r w:rsidRPr="0024699B">
        <w:rPr>
          <w:i/>
        </w:rPr>
        <w:t>Geriatrics &amp; Gerontology International</w:t>
      </w:r>
      <w:r w:rsidRPr="0024699B">
        <w:t>, 18(3)</w:t>
      </w:r>
    </w:p>
    <w:sectPr w:rsidR="0024699B" w:rsidRPr="002469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556" w:rsidRDefault="00B11556" w:rsidP="0024699B">
      <w:pPr>
        <w:spacing w:after="0" w:line="240" w:lineRule="auto"/>
      </w:pPr>
      <w:r>
        <w:separator/>
      </w:r>
    </w:p>
  </w:endnote>
  <w:endnote w:type="continuationSeparator" w:id="0">
    <w:p w:rsidR="00B11556" w:rsidRDefault="00B11556" w:rsidP="0024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556" w:rsidRDefault="00B11556" w:rsidP="0024699B">
      <w:pPr>
        <w:spacing w:after="0" w:line="240" w:lineRule="auto"/>
      </w:pPr>
      <w:r>
        <w:separator/>
      </w:r>
    </w:p>
  </w:footnote>
  <w:footnote w:type="continuationSeparator" w:id="0">
    <w:p w:rsidR="00B11556" w:rsidRDefault="00B11556" w:rsidP="00246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933084"/>
      <w:docPartObj>
        <w:docPartGallery w:val="Page Numbers (Top of Page)"/>
        <w:docPartUnique/>
      </w:docPartObj>
    </w:sdtPr>
    <w:sdtEndPr>
      <w:rPr>
        <w:noProof/>
      </w:rPr>
    </w:sdtEndPr>
    <w:sdtContent>
      <w:p w:rsidR="0024699B" w:rsidRDefault="0024699B">
        <w:pPr>
          <w:pStyle w:val="Header"/>
          <w:jc w:val="right"/>
        </w:pPr>
        <w:r>
          <w:fldChar w:fldCharType="begin"/>
        </w:r>
        <w:r>
          <w:instrText xml:space="preserve"> PAGE   \* MERGEFORMAT </w:instrText>
        </w:r>
        <w:r>
          <w:fldChar w:fldCharType="separate"/>
        </w:r>
        <w:r w:rsidR="00F22485">
          <w:rPr>
            <w:noProof/>
          </w:rPr>
          <w:t>7</w:t>
        </w:r>
        <w:r>
          <w:rPr>
            <w:noProof/>
          </w:rPr>
          <w:fldChar w:fldCharType="end"/>
        </w:r>
      </w:p>
    </w:sdtContent>
  </w:sdt>
  <w:p w:rsidR="0024699B" w:rsidRDefault="002469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2E6"/>
    <w:rsid w:val="000A188E"/>
    <w:rsid w:val="000B37B5"/>
    <w:rsid w:val="001402E6"/>
    <w:rsid w:val="00174207"/>
    <w:rsid w:val="0024699B"/>
    <w:rsid w:val="00370B10"/>
    <w:rsid w:val="004C766C"/>
    <w:rsid w:val="005C08C0"/>
    <w:rsid w:val="007D591C"/>
    <w:rsid w:val="007E1866"/>
    <w:rsid w:val="008A79EF"/>
    <w:rsid w:val="00A12206"/>
    <w:rsid w:val="00A956ED"/>
    <w:rsid w:val="00B11556"/>
    <w:rsid w:val="00B50275"/>
    <w:rsid w:val="00B813A1"/>
    <w:rsid w:val="00D5500A"/>
    <w:rsid w:val="00F2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99B"/>
  </w:style>
  <w:style w:type="paragraph" w:styleId="Footer">
    <w:name w:val="footer"/>
    <w:basedOn w:val="Normal"/>
    <w:link w:val="FooterChar"/>
    <w:uiPriority w:val="99"/>
    <w:unhideWhenUsed/>
    <w:rsid w:val="0024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9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99B"/>
  </w:style>
  <w:style w:type="paragraph" w:styleId="Footer">
    <w:name w:val="footer"/>
    <w:basedOn w:val="Normal"/>
    <w:link w:val="FooterChar"/>
    <w:uiPriority w:val="99"/>
    <w:unhideWhenUsed/>
    <w:rsid w:val="0024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7</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2020-06-11T08:35:00Z</dcterms:created>
  <dcterms:modified xsi:type="dcterms:W3CDTF">2020-06-11T13:07:00Z</dcterms:modified>
</cp:coreProperties>
</file>